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75CD9" w14:paraId="30A9E3FC" w14:textId="77777777">
      <w:pPr>
        <w:rPr>
          <w:rFonts w:ascii="Times New Roman" w:hAnsi="Times New Roman" w:cs="Times New Roman"/>
          <w:b/>
          <w:bCs/>
          <w:sz w:val="24"/>
          <w:szCs w:val="24"/>
        </w:rPr>
      </w:pPr>
    </w:p>
    <w:p w:rsidR="00175CD9" w14:paraId="7F3CC655" w14:textId="77777777">
      <w:pPr>
        <w:rPr>
          <w:rFonts w:ascii="Times New Roman" w:hAnsi="Times New Roman" w:cs="Times New Roman"/>
          <w:b/>
          <w:bCs/>
          <w:sz w:val="24"/>
          <w:szCs w:val="24"/>
        </w:rPr>
      </w:pPr>
    </w:p>
    <w:p w:rsidR="00175CD9" w14:paraId="41F8DD63" w14:textId="77777777">
      <w:pPr>
        <w:rPr>
          <w:rFonts w:ascii="Times New Roman" w:hAnsi="Times New Roman" w:cs="Times New Roman"/>
          <w:b/>
          <w:bCs/>
          <w:sz w:val="24"/>
          <w:szCs w:val="24"/>
        </w:rPr>
      </w:pPr>
    </w:p>
    <w:p w:rsidR="00175CD9" w:rsidP="00175CD9" w14:paraId="05C7D78B" w14:textId="6C5AC425">
      <w:pPr>
        <w:ind w:firstLine="0"/>
        <w:jc w:val="center"/>
        <w:rPr>
          <w:rFonts w:ascii="Times New Roman" w:hAnsi="Times New Roman" w:cs="Times New Roman"/>
          <w:sz w:val="24"/>
          <w:szCs w:val="24"/>
        </w:rPr>
      </w:pPr>
      <w:r w:rsidRPr="00175CD9">
        <w:rPr>
          <w:rFonts w:ascii="Times New Roman" w:hAnsi="Times New Roman" w:cs="Times New Roman"/>
          <w:sz w:val="24"/>
          <w:szCs w:val="24"/>
        </w:rPr>
        <w:t>Cities and Responsibilities</w:t>
      </w:r>
    </w:p>
    <w:p w:rsidR="00175CD9" w:rsidP="00175CD9" w14:paraId="7123B227" w14:textId="017685F9">
      <w:pPr>
        <w:ind w:firstLine="0"/>
        <w:jc w:val="center"/>
        <w:rPr>
          <w:rFonts w:ascii="Times New Roman" w:hAnsi="Times New Roman" w:cs="Times New Roman"/>
          <w:sz w:val="24"/>
          <w:szCs w:val="24"/>
        </w:rPr>
      </w:pPr>
    </w:p>
    <w:p w:rsidR="00175CD9" w:rsidP="00175CD9" w14:paraId="3AFE420D" w14:textId="5E942CDD">
      <w:pPr>
        <w:ind w:firstLine="0"/>
        <w:jc w:val="center"/>
        <w:rPr>
          <w:rFonts w:ascii="Times New Roman" w:hAnsi="Times New Roman" w:cs="Times New Roman"/>
          <w:sz w:val="24"/>
          <w:szCs w:val="24"/>
        </w:rPr>
      </w:pPr>
      <w:r>
        <w:rPr>
          <w:rFonts w:ascii="Times New Roman" w:hAnsi="Times New Roman" w:cs="Times New Roman"/>
          <w:sz w:val="24"/>
          <w:szCs w:val="24"/>
        </w:rPr>
        <w:t>Name</w:t>
      </w:r>
    </w:p>
    <w:p w:rsidR="00175CD9" w:rsidP="00175CD9" w14:paraId="758A1431" w14:textId="0991470D">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175CD9" w:rsidP="00175CD9" w14:paraId="255F66C9" w14:textId="61B32F26">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175CD9" w:rsidP="00175CD9" w14:paraId="3224A1A4" w14:textId="060E085C">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rsidR="00175CD9" w:rsidRPr="00175CD9" w:rsidP="00175CD9" w14:paraId="63636532" w14:textId="7C5875D1">
      <w:pPr>
        <w:ind w:firstLine="0"/>
        <w:jc w:val="center"/>
        <w:rPr>
          <w:rFonts w:ascii="Times New Roman" w:hAnsi="Times New Roman" w:cs="Times New Roman"/>
          <w:sz w:val="24"/>
          <w:szCs w:val="24"/>
        </w:rPr>
      </w:pPr>
      <w:r>
        <w:rPr>
          <w:rFonts w:ascii="Times New Roman" w:hAnsi="Times New Roman" w:cs="Times New Roman"/>
          <w:sz w:val="24"/>
          <w:szCs w:val="24"/>
        </w:rPr>
        <w:t>Date</w:t>
      </w:r>
    </w:p>
    <w:p w:rsidR="00175CD9" w14:paraId="64344AC2" w14:textId="59919B1F">
      <w:pPr>
        <w:rPr>
          <w:rFonts w:ascii="Times New Roman" w:hAnsi="Times New Roman" w:cs="Times New Roman"/>
          <w:b/>
          <w:bCs/>
          <w:sz w:val="24"/>
          <w:szCs w:val="24"/>
        </w:rPr>
      </w:pPr>
      <w:r>
        <w:rPr>
          <w:rFonts w:ascii="Times New Roman" w:hAnsi="Times New Roman" w:cs="Times New Roman"/>
          <w:b/>
          <w:bCs/>
          <w:sz w:val="24"/>
          <w:szCs w:val="24"/>
        </w:rPr>
        <w:br w:type="page"/>
      </w:r>
    </w:p>
    <w:p w:rsidR="00167ACE" w:rsidRPr="00167ACE" w:rsidP="00175CD9" w14:paraId="06CB4B10" w14:textId="05A34900">
      <w:pPr>
        <w:ind w:firstLine="0"/>
        <w:jc w:val="center"/>
        <w:rPr>
          <w:rFonts w:ascii="Times New Roman" w:hAnsi="Times New Roman" w:cs="Times New Roman"/>
          <w:b/>
          <w:bCs/>
          <w:sz w:val="24"/>
          <w:szCs w:val="24"/>
        </w:rPr>
      </w:pPr>
      <w:r w:rsidRPr="00167ACE">
        <w:rPr>
          <w:rFonts w:ascii="Times New Roman" w:hAnsi="Times New Roman" w:cs="Times New Roman"/>
          <w:b/>
          <w:bCs/>
          <w:sz w:val="24"/>
          <w:szCs w:val="24"/>
        </w:rPr>
        <w:t>Cities and Responsibilities</w:t>
      </w:r>
    </w:p>
    <w:p w:rsidR="006C5995" w:rsidP="003E1A25" w14:paraId="68468E94" w14:textId="4467F3D9">
      <w:pPr>
        <w:rPr>
          <w:rFonts w:ascii="Times New Roman" w:hAnsi="Times New Roman" w:cs="Times New Roman"/>
          <w:sz w:val="24"/>
          <w:szCs w:val="24"/>
        </w:rPr>
      </w:pPr>
      <w:r>
        <w:rPr>
          <w:rFonts w:ascii="Times New Roman" w:hAnsi="Times New Roman" w:cs="Times New Roman"/>
          <w:sz w:val="24"/>
          <w:szCs w:val="24"/>
        </w:rPr>
        <w:t xml:space="preserve">The </w:t>
      </w:r>
      <w:bookmarkStart w:id="0" w:name="_Hlk81339623"/>
      <w:r>
        <w:rPr>
          <w:rFonts w:ascii="Times New Roman" w:hAnsi="Times New Roman" w:cs="Times New Roman"/>
          <w:sz w:val="24"/>
          <w:szCs w:val="24"/>
        </w:rPr>
        <w:t xml:space="preserve">“Garden Cities of To-morrow” </w:t>
      </w:r>
      <w:bookmarkEnd w:id="0"/>
      <w:r>
        <w:rPr>
          <w:rFonts w:ascii="Times New Roman" w:hAnsi="Times New Roman" w:cs="Times New Roman"/>
          <w:sz w:val="24"/>
          <w:szCs w:val="24"/>
        </w:rPr>
        <w:t xml:space="preserve">is a book written by </w:t>
      </w:r>
      <w:r w:rsidR="00FE6B84">
        <w:rPr>
          <w:rFonts w:ascii="Times New Roman" w:hAnsi="Times New Roman" w:cs="Times New Roman"/>
          <w:sz w:val="24"/>
          <w:szCs w:val="24"/>
        </w:rPr>
        <w:t xml:space="preserve">Ebenezer Howard. </w:t>
      </w:r>
      <w:r>
        <w:rPr>
          <w:rFonts w:ascii="Times New Roman" w:hAnsi="Times New Roman" w:cs="Times New Roman"/>
          <w:sz w:val="24"/>
          <w:szCs w:val="24"/>
        </w:rPr>
        <w:t xml:space="preserve"> </w:t>
      </w:r>
      <w:r w:rsidR="00E71022">
        <w:rPr>
          <w:rFonts w:ascii="Times New Roman" w:hAnsi="Times New Roman" w:cs="Times New Roman"/>
          <w:sz w:val="24"/>
          <w:szCs w:val="24"/>
        </w:rPr>
        <w:t>In the reading</w:t>
      </w:r>
      <w:r w:rsidR="00FE6B84">
        <w:rPr>
          <w:rFonts w:ascii="Times New Roman" w:hAnsi="Times New Roman" w:cs="Times New Roman"/>
          <w:sz w:val="24"/>
          <w:szCs w:val="24"/>
        </w:rPr>
        <w:t xml:space="preserve">,  Howard’s </w:t>
      </w:r>
      <w:r w:rsidR="00E71022">
        <w:rPr>
          <w:rFonts w:ascii="Times New Roman" w:hAnsi="Times New Roman" w:cs="Times New Roman"/>
          <w:sz w:val="24"/>
          <w:szCs w:val="24"/>
        </w:rPr>
        <w:t>primary objective was</w:t>
      </w:r>
      <w:r w:rsidR="00017E4F">
        <w:rPr>
          <w:rFonts w:ascii="Times New Roman" w:hAnsi="Times New Roman" w:cs="Times New Roman"/>
          <w:sz w:val="24"/>
          <w:szCs w:val="24"/>
        </w:rPr>
        <w:t xml:space="preserve"> to</w:t>
      </w:r>
      <w:r w:rsidR="00E71022">
        <w:rPr>
          <w:rFonts w:ascii="Times New Roman" w:hAnsi="Times New Roman" w:cs="Times New Roman"/>
          <w:sz w:val="24"/>
          <w:szCs w:val="24"/>
        </w:rPr>
        <w:t xml:space="preserve"> bring about the "Garden City Movement" and address urban design issues. He wanted to bring a picture of slums-free </w:t>
      </w:r>
      <w:r w:rsidR="00C20CFB">
        <w:rPr>
          <w:rFonts w:ascii="Times New Roman" w:hAnsi="Times New Roman" w:cs="Times New Roman"/>
          <w:sz w:val="24"/>
          <w:szCs w:val="24"/>
        </w:rPr>
        <w:t>towns and the benefits that accompanied town and country. Some of the benefits from the town might have been amusement, wages and opportunity. The benefits of the country might have been low rent, fresh air, and beauty</w:t>
      </w:r>
      <w:r w:rsidR="00175CD9">
        <w:rPr>
          <w:rFonts w:ascii="Times New Roman" w:hAnsi="Times New Roman" w:cs="Times New Roman"/>
          <w:sz w:val="24"/>
          <w:szCs w:val="24"/>
        </w:rPr>
        <w:t xml:space="preserve"> </w:t>
      </w:r>
      <w:r w:rsidRPr="00175CD9" w:rsidR="00175CD9">
        <w:rPr>
          <w:rFonts w:ascii="Times New Roman" w:hAnsi="Times New Roman" w:cs="Times New Roman"/>
          <w:sz w:val="24"/>
          <w:szCs w:val="24"/>
        </w:rPr>
        <w:t>(Howards, 1898)</w:t>
      </w:r>
      <w:r w:rsidR="00C20CFB">
        <w:rPr>
          <w:rFonts w:ascii="Times New Roman" w:hAnsi="Times New Roman" w:cs="Times New Roman"/>
          <w:sz w:val="24"/>
          <w:szCs w:val="24"/>
        </w:rPr>
        <w:t xml:space="preserve">. </w:t>
      </w:r>
    </w:p>
    <w:p w:rsidR="00C20CFB" w:rsidP="00C20CFB" w14:paraId="5EE96290" w14:textId="16ADC6D7">
      <w:pPr>
        <w:rPr>
          <w:rFonts w:ascii="Times New Roman" w:hAnsi="Times New Roman" w:cs="Times New Roman"/>
          <w:sz w:val="24"/>
          <w:szCs w:val="24"/>
        </w:rPr>
      </w:pPr>
      <w:r>
        <w:rPr>
          <w:rFonts w:ascii="Times New Roman" w:hAnsi="Times New Roman" w:cs="Times New Roman"/>
          <w:sz w:val="24"/>
          <w:szCs w:val="24"/>
        </w:rPr>
        <w:t xml:space="preserve">To communicate his findings and beliefs, Ebenezer Howard </w:t>
      </w:r>
      <w:r w:rsidR="00305499">
        <w:rPr>
          <w:rFonts w:ascii="Times New Roman" w:hAnsi="Times New Roman" w:cs="Times New Roman"/>
          <w:sz w:val="24"/>
          <w:szCs w:val="24"/>
        </w:rPr>
        <w:t>used  “Three Magnets</w:t>
      </w:r>
      <w:r w:rsidR="008E71E2">
        <w:rPr>
          <w:rFonts w:ascii="Times New Roman" w:hAnsi="Times New Roman" w:cs="Times New Roman"/>
          <w:sz w:val="24"/>
          <w:szCs w:val="24"/>
        </w:rPr>
        <w:t>”</w:t>
      </w:r>
      <w:r w:rsidR="00A509E1">
        <w:rPr>
          <w:rFonts w:ascii="Times New Roman" w:hAnsi="Times New Roman" w:cs="Times New Roman"/>
          <w:sz w:val="24"/>
          <w:szCs w:val="24"/>
        </w:rPr>
        <w:t xml:space="preserve"> principles.</w:t>
      </w:r>
      <w:r w:rsidR="008E71E2">
        <w:rPr>
          <w:rFonts w:ascii="Times New Roman" w:hAnsi="Times New Roman" w:cs="Times New Roman"/>
          <w:sz w:val="24"/>
          <w:szCs w:val="24"/>
        </w:rPr>
        <w:t xml:space="preserve"> They include town, country, and town country</w:t>
      </w:r>
      <w:r w:rsidR="00256E34">
        <w:rPr>
          <w:rFonts w:ascii="Times New Roman" w:hAnsi="Times New Roman" w:cs="Times New Roman"/>
          <w:sz w:val="24"/>
          <w:szCs w:val="24"/>
        </w:rPr>
        <w:t xml:space="preserve">. Town refers to high wages and work opportunities, </w:t>
      </w:r>
      <w:r w:rsidR="00194A1A">
        <w:rPr>
          <w:rFonts w:ascii="Times New Roman" w:hAnsi="Times New Roman" w:cs="Times New Roman"/>
          <w:sz w:val="24"/>
          <w:szCs w:val="24"/>
        </w:rPr>
        <w:t xml:space="preserve">amusements, social chances, well-lit towns. The focus of the town magnet is to have healthfulness, fresh air, and the beauty of nature. However, there was the cost incurred to achieve this; </w:t>
      </w:r>
      <w:r w:rsidR="00A509E1">
        <w:rPr>
          <w:rFonts w:ascii="Times New Roman" w:hAnsi="Times New Roman" w:cs="Times New Roman"/>
          <w:sz w:val="24"/>
          <w:szCs w:val="24"/>
        </w:rPr>
        <w:t>expensive drainage, foul air, and slums. The second magnet was the country that provided fresh air, low rents, and the beauty of nature. However, the country did not have drainage, it is full of dullness, and there was no society</w:t>
      </w:r>
      <w:r w:rsidR="00175CD9">
        <w:rPr>
          <w:rFonts w:ascii="Times New Roman" w:hAnsi="Times New Roman" w:cs="Times New Roman"/>
          <w:sz w:val="24"/>
          <w:szCs w:val="24"/>
        </w:rPr>
        <w:t xml:space="preserve"> </w:t>
      </w:r>
      <w:r w:rsidRPr="00175CD9" w:rsidR="00175CD9">
        <w:rPr>
          <w:rFonts w:ascii="Times New Roman" w:hAnsi="Times New Roman" w:cs="Times New Roman"/>
          <w:sz w:val="24"/>
          <w:szCs w:val="24"/>
        </w:rPr>
        <w:t>(Howards, 1898)</w:t>
      </w:r>
      <w:r w:rsidR="00A509E1">
        <w:rPr>
          <w:rFonts w:ascii="Times New Roman" w:hAnsi="Times New Roman" w:cs="Times New Roman"/>
          <w:sz w:val="24"/>
          <w:szCs w:val="24"/>
        </w:rPr>
        <w:t xml:space="preserve">. </w:t>
      </w:r>
    </w:p>
    <w:p w:rsidR="00A509E1" w:rsidP="00C20CFB" w14:paraId="480DC2F2" w14:textId="4D479320">
      <w:pPr>
        <w:rPr>
          <w:rFonts w:ascii="Times New Roman" w:hAnsi="Times New Roman" w:cs="Times New Roman"/>
          <w:sz w:val="24"/>
          <w:szCs w:val="24"/>
        </w:rPr>
      </w:pPr>
      <w:r>
        <w:rPr>
          <w:rFonts w:ascii="Times New Roman" w:hAnsi="Times New Roman" w:cs="Times New Roman"/>
          <w:sz w:val="24"/>
          <w:szCs w:val="24"/>
        </w:rPr>
        <w:t>Town-country was the third magnet that Howard used.</w:t>
      </w:r>
      <w:r w:rsidR="00017E4F">
        <w:rPr>
          <w:rFonts w:ascii="Times New Roman" w:hAnsi="Times New Roman" w:cs="Times New Roman"/>
          <w:sz w:val="24"/>
          <w:szCs w:val="24"/>
        </w:rPr>
        <w:t xml:space="preserve"> Town-country principle comprised of town and country combined. This principle is aimed at offering the benefits of both the town and the country. It aimed at providing such benefits as an enterprise, high incomes, low rent, social opportunities, and natural beauty.  For this reason, its solution was based on a combination of the benefits of the country and the town. </w:t>
      </w:r>
      <w:r w:rsidR="00FE6B84">
        <w:rPr>
          <w:rFonts w:ascii="Times New Roman" w:hAnsi="Times New Roman" w:cs="Times New Roman"/>
          <w:sz w:val="24"/>
          <w:szCs w:val="24"/>
        </w:rPr>
        <w:t xml:space="preserve">Howard termed this principle as a "Town-country magnet " The approach looked at the town as based in a country. The country is also comprised of such amenities as healthfulness, fresh air, and the beauty of nature. </w:t>
      </w:r>
      <w:r w:rsidR="00E548F3">
        <w:rPr>
          <w:rFonts w:ascii="Times New Roman" w:hAnsi="Times New Roman" w:cs="Times New Roman"/>
          <w:sz w:val="24"/>
          <w:szCs w:val="24"/>
        </w:rPr>
        <w:t>For this reason, the benefits of the town-country approach were viewed to be different from their disadvantages</w:t>
      </w:r>
      <w:r w:rsidR="00175CD9">
        <w:rPr>
          <w:rFonts w:ascii="Times New Roman" w:hAnsi="Times New Roman" w:cs="Times New Roman"/>
          <w:sz w:val="24"/>
          <w:szCs w:val="24"/>
        </w:rPr>
        <w:t xml:space="preserve"> </w:t>
      </w:r>
      <w:r w:rsidRPr="00175CD9" w:rsidR="00175CD9">
        <w:rPr>
          <w:rFonts w:ascii="Times New Roman" w:hAnsi="Times New Roman" w:cs="Times New Roman"/>
          <w:sz w:val="24"/>
          <w:szCs w:val="24"/>
        </w:rPr>
        <w:t>(Howards, 1898)</w:t>
      </w:r>
      <w:r w:rsidR="00E548F3">
        <w:rPr>
          <w:rFonts w:ascii="Times New Roman" w:hAnsi="Times New Roman" w:cs="Times New Roman"/>
          <w:sz w:val="24"/>
          <w:szCs w:val="24"/>
        </w:rPr>
        <w:t xml:space="preserve">. </w:t>
      </w:r>
    </w:p>
    <w:p w:rsidR="00371382" w:rsidP="00C20CFB" w14:paraId="0D6762D7" w14:textId="08073394">
      <w:pPr>
        <w:rPr>
          <w:rFonts w:ascii="Times New Roman" w:hAnsi="Times New Roman" w:cs="Times New Roman"/>
          <w:sz w:val="24"/>
          <w:szCs w:val="24"/>
        </w:rPr>
      </w:pPr>
      <w:r>
        <w:rPr>
          <w:rFonts w:ascii="Times New Roman" w:hAnsi="Times New Roman" w:cs="Times New Roman"/>
          <w:sz w:val="24"/>
          <w:szCs w:val="24"/>
        </w:rPr>
        <w:t xml:space="preserve">This reading has a relationship </w:t>
      </w:r>
      <w:r w:rsidR="00EB1BFB">
        <w:rPr>
          <w:rFonts w:ascii="Times New Roman" w:hAnsi="Times New Roman" w:cs="Times New Roman"/>
          <w:sz w:val="24"/>
          <w:szCs w:val="24"/>
        </w:rPr>
        <w:t>with sustainability. The content talks about research on how to manage organizations and consequences for sustaina</w:t>
      </w:r>
      <w:r w:rsidR="00092C34">
        <w:rPr>
          <w:rFonts w:ascii="Times New Roman" w:hAnsi="Times New Roman" w:cs="Times New Roman"/>
          <w:sz w:val="24"/>
          <w:szCs w:val="24"/>
        </w:rPr>
        <w:t>bility and to flourish economic, natural and social environment where they operate. The material seeks to contribute to managerial and academic debates concerning sustainable organizational development based on comprehensive</w:t>
      </w:r>
      <w:r w:rsidR="00CC4B2F">
        <w:rPr>
          <w:rFonts w:ascii="Times New Roman" w:hAnsi="Times New Roman" w:cs="Times New Roman"/>
          <w:sz w:val="24"/>
          <w:szCs w:val="24"/>
        </w:rPr>
        <w:t xml:space="preserve"> social (such as political science, history, psychology, sociology, and all law domains) and natural research. Moreover, the reading allows for </w:t>
      </w:r>
      <w:r w:rsidR="00F96B84">
        <w:rPr>
          <w:rFonts w:ascii="Times New Roman" w:hAnsi="Times New Roman" w:cs="Times New Roman"/>
          <w:sz w:val="24"/>
          <w:szCs w:val="24"/>
        </w:rPr>
        <w:t>recording experimental designs in the laboratory, most notably in the field, working towards publishing the outcomes of well-executed studies</w:t>
      </w:r>
      <w:r w:rsidRPr="00175CD9" w:rsidR="00175CD9">
        <w:rPr>
          <w:rFonts w:ascii="Times New Roman" w:hAnsi="Times New Roman" w:cs="Times New Roman"/>
          <w:sz w:val="24"/>
          <w:szCs w:val="24"/>
        </w:rPr>
        <w:t xml:space="preserve"> </w:t>
      </w:r>
      <w:bookmarkStart w:id="1" w:name="_Hlk81341624"/>
      <w:r w:rsidR="00175CD9">
        <w:rPr>
          <w:rFonts w:ascii="Times New Roman" w:hAnsi="Times New Roman" w:cs="Times New Roman"/>
          <w:sz w:val="24"/>
          <w:szCs w:val="24"/>
        </w:rPr>
        <w:t>(</w:t>
      </w:r>
      <w:r w:rsidRPr="00175CD9" w:rsidR="00175CD9">
        <w:rPr>
          <w:rFonts w:ascii="Times New Roman" w:hAnsi="Times New Roman" w:cs="Times New Roman"/>
          <w:sz w:val="24"/>
          <w:szCs w:val="24"/>
        </w:rPr>
        <w:t>Howards,</w:t>
      </w:r>
      <w:r w:rsidR="00175CD9">
        <w:rPr>
          <w:rFonts w:ascii="Times New Roman" w:hAnsi="Times New Roman" w:cs="Times New Roman"/>
          <w:sz w:val="24"/>
          <w:szCs w:val="24"/>
        </w:rPr>
        <w:t xml:space="preserve"> </w:t>
      </w:r>
      <w:r w:rsidRPr="00175CD9" w:rsidR="00175CD9">
        <w:rPr>
          <w:rFonts w:ascii="Times New Roman" w:hAnsi="Times New Roman" w:cs="Times New Roman"/>
          <w:sz w:val="24"/>
          <w:szCs w:val="24"/>
        </w:rPr>
        <w:t>1898)</w:t>
      </w:r>
      <w:bookmarkEnd w:id="1"/>
      <w:r w:rsidR="00F96B84">
        <w:rPr>
          <w:rFonts w:ascii="Times New Roman" w:hAnsi="Times New Roman" w:cs="Times New Roman"/>
          <w:sz w:val="24"/>
          <w:szCs w:val="24"/>
        </w:rPr>
        <w:t xml:space="preserve">. </w:t>
      </w:r>
    </w:p>
    <w:p w:rsidR="00C20CFB" w:rsidP="00E71022" w14:paraId="2D0ACD4E" w14:textId="28931D36">
      <w:pPr>
        <w:ind w:firstLine="0"/>
        <w:rPr>
          <w:rFonts w:ascii="Times New Roman" w:hAnsi="Times New Roman" w:cs="Times New Roman"/>
          <w:sz w:val="24"/>
          <w:szCs w:val="24"/>
        </w:rPr>
      </w:pPr>
      <w:r>
        <w:rPr>
          <w:rFonts w:ascii="Times New Roman" w:hAnsi="Times New Roman" w:cs="Times New Roman"/>
          <w:sz w:val="24"/>
          <w:szCs w:val="24"/>
        </w:rPr>
        <w:tab/>
        <w:t xml:space="preserve">I liked the reading </w:t>
      </w:r>
      <w:r w:rsidRPr="00D25A00">
        <w:rPr>
          <w:rFonts w:ascii="Times New Roman" w:hAnsi="Times New Roman" w:cs="Times New Roman"/>
          <w:sz w:val="24"/>
          <w:szCs w:val="24"/>
        </w:rPr>
        <w:t>“Garden Cities of To-morrow”</w:t>
      </w:r>
      <w:r>
        <w:rPr>
          <w:rFonts w:ascii="Times New Roman" w:hAnsi="Times New Roman" w:cs="Times New Roman"/>
          <w:sz w:val="24"/>
          <w:szCs w:val="24"/>
        </w:rPr>
        <w:t xml:space="preserve"> because it has had a significant impact on the urban forecasting </w:t>
      </w:r>
      <w:r w:rsidR="00D7569D">
        <w:rPr>
          <w:rFonts w:ascii="Times New Roman" w:hAnsi="Times New Roman" w:cs="Times New Roman"/>
          <w:sz w:val="24"/>
          <w:szCs w:val="24"/>
        </w:rPr>
        <w:t>and developments of towns all over the world. Perhaps a rather terrible one is the validation of unending expansions into the environs of meanders and cul-de-sacs leading to sprawl. The vision about the garden cities by Howard is rarely remembered. Additionally, this book is worth reading because most of Howard's ideas still exist and are used for planning up to date</w:t>
      </w:r>
      <w:r w:rsidR="00A62039">
        <w:rPr>
          <w:rFonts w:ascii="Times New Roman" w:hAnsi="Times New Roman" w:cs="Times New Roman"/>
          <w:sz w:val="24"/>
          <w:szCs w:val="24"/>
        </w:rPr>
        <w:t xml:space="preserve">. It is an excellent material that someone whose interest is planning should read it. Lastly, I liked that the author's ideas led to the existence of the movement known as  "garden city" in England and "new towns" in America. </w:t>
      </w:r>
    </w:p>
    <w:p w:rsidR="00A62039" w:rsidP="00E71022" w14:paraId="2ED459A4" w14:textId="6F93A182">
      <w:pPr>
        <w:ind w:firstLine="0"/>
        <w:rPr>
          <w:rFonts w:ascii="Times New Roman" w:hAnsi="Times New Roman" w:cs="Times New Roman"/>
          <w:sz w:val="24"/>
          <w:szCs w:val="24"/>
        </w:rPr>
      </w:pPr>
      <w:r>
        <w:rPr>
          <w:rFonts w:ascii="Times New Roman" w:hAnsi="Times New Roman" w:cs="Times New Roman"/>
          <w:sz w:val="24"/>
          <w:szCs w:val="24"/>
        </w:rPr>
        <w:tab/>
        <w:t xml:space="preserve">Despite being an interesting book, I didn't particularly appreciate that it was more majorly centred on philosophy about urban planning. Contrary to what I intended, it was not very practical. Howard </w:t>
      </w:r>
      <w:r w:rsidR="003E1A25">
        <w:rPr>
          <w:rFonts w:ascii="Times New Roman" w:hAnsi="Times New Roman" w:cs="Times New Roman"/>
          <w:sz w:val="24"/>
          <w:szCs w:val="24"/>
        </w:rPr>
        <w:t xml:space="preserve">addresses the corporality of the garden cities with sketches, budgets and charts. Despite this, he focuses more of his time to explain how he came up with a balance between capitalism and socialism. </w:t>
      </w:r>
    </w:p>
    <w:p w:rsidR="003E1A25" w14:paraId="1893DA2B" w14:textId="77777777">
      <w:pPr>
        <w:rPr>
          <w:rFonts w:ascii="Times New Roman" w:hAnsi="Times New Roman" w:cs="Times New Roman"/>
          <w:sz w:val="24"/>
          <w:szCs w:val="24"/>
        </w:rPr>
      </w:pPr>
      <w:r>
        <w:rPr>
          <w:rFonts w:ascii="Times New Roman" w:hAnsi="Times New Roman" w:cs="Times New Roman"/>
          <w:sz w:val="24"/>
          <w:szCs w:val="24"/>
        </w:rPr>
        <w:br w:type="page"/>
      </w:r>
    </w:p>
    <w:p w:rsidR="003E1A25" w:rsidRPr="003E1A25" w:rsidP="00175CD9" w14:paraId="683882F3" w14:textId="4B1AF047">
      <w:pPr>
        <w:ind w:firstLine="0"/>
        <w:jc w:val="center"/>
        <w:rPr>
          <w:rFonts w:ascii="Times New Roman" w:hAnsi="Times New Roman" w:cs="Times New Roman"/>
          <w:b/>
          <w:bCs/>
          <w:sz w:val="24"/>
          <w:szCs w:val="24"/>
        </w:rPr>
      </w:pPr>
      <w:r w:rsidRPr="003E1A25">
        <w:rPr>
          <w:rFonts w:ascii="Times New Roman" w:hAnsi="Times New Roman" w:cs="Times New Roman"/>
          <w:b/>
          <w:bCs/>
          <w:sz w:val="24"/>
          <w:szCs w:val="24"/>
        </w:rPr>
        <w:t>References</w:t>
      </w:r>
    </w:p>
    <w:p w:rsidR="003E1A25" w:rsidRPr="00E71022" w:rsidP="00E71022" w14:paraId="6380BEF0" w14:textId="16D71CFB">
      <w:pPr>
        <w:ind w:firstLine="0"/>
        <w:rPr>
          <w:rFonts w:ascii="Times New Roman" w:hAnsi="Times New Roman" w:cs="Times New Roman"/>
          <w:sz w:val="24"/>
          <w:szCs w:val="24"/>
        </w:rPr>
      </w:pPr>
      <w:bookmarkStart w:id="2" w:name="_Hlk81341599"/>
      <w:r>
        <w:rPr>
          <w:rFonts w:ascii="Times New Roman" w:hAnsi="Times New Roman" w:cs="Times New Roman"/>
          <w:sz w:val="24"/>
          <w:szCs w:val="24"/>
        </w:rPr>
        <w:t>Howards, E. (1898).</w:t>
      </w:r>
      <w:bookmarkEnd w:id="2"/>
      <w:r>
        <w:rPr>
          <w:rFonts w:ascii="Times New Roman" w:hAnsi="Times New Roman" w:cs="Times New Roman"/>
          <w:sz w:val="24"/>
          <w:szCs w:val="24"/>
        </w:rPr>
        <w:t xml:space="preserve"> </w:t>
      </w:r>
      <w:r w:rsidRPr="003E1A25">
        <w:rPr>
          <w:rFonts w:ascii="Times New Roman" w:hAnsi="Times New Roman" w:cs="Times New Roman"/>
          <w:i/>
          <w:iCs/>
          <w:sz w:val="24"/>
          <w:szCs w:val="24"/>
        </w:rPr>
        <w:t>Garden Cities of To-morrow.</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022"/>
    <w:rsid w:val="00017E4F"/>
    <w:rsid w:val="000574A7"/>
    <w:rsid w:val="00092C34"/>
    <w:rsid w:val="00167ACE"/>
    <w:rsid w:val="00175CD9"/>
    <w:rsid w:val="00194A1A"/>
    <w:rsid w:val="00256E34"/>
    <w:rsid w:val="00305499"/>
    <w:rsid w:val="00371382"/>
    <w:rsid w:val="003E1A25"/>
    <w:rsid w:val="006C5995"/>
    <w:rsid w:val="008E71E2"/>
    <w:rsid w:val="00A509E1"/>
    <w:rsid w:val="00A62039"/>
    <w:rsid w:val="00C03A3B"/>
    <w:rsid w:val="00C20CFB"/>
    <w:rsid w:val="00CC4B2F"/>
    <w:rsid w:val="00D25A00"/>
    <w:rsid w:val="00D7569D"/>
    <w:rsid w:val="00E548F3"/>
    <w:rsid w:val="00E71022"/>
    <w:rsid w:val="00EB1BFB"/>
    <w:rsid w:val="00F96B84"/>
    <w:rsid w:val="00FE6B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53193C"/>
  <w15:chartTrackingRefBased/>
  <w15:docId w15:val="{5419DDA5-EC80-4061-845E-10493653A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E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E4F"/>
  </w:style>
  <w:style w:type="paragraph" w:styleId="Footer">
    <w:name w:val="footer"/>
    <w:basedOn w:val="Normal"/>
    <w:link w:val="FooterChar"/>
    <w:uiPriority w:val="99"/>
    <w:unhideWhenUsed/>
    <w:rsid w:val="00017E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4</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2021-08-31T14:58:00Z</dcterms:created>
  <dcterms:modified xsi:type="dcterms:W3CDTF">2021-08-31T19:35:00Z</dcterms:modified>
</cp:coreProperties>
</file>